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4D61D2F3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5B1E2E3" w14:textId="77777777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Політичних наук та історії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______________</w:t>
            </w:r>
          </w:p>
          <w:p w14:paraId="3459F190" w14:textId="77777777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Семко</w:t>
            </w:r>
            <w:proofErr w:type="spellEnd"/>
            <w:r w:rsid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Вадим Леонідович</w:t>
            </w:r>
          </w:p>
          <w:p w14:paraId="7994E5A5" w14:textId="77777777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доцент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______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A4065F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2004 р.</w:t>
            </w:r>
            <w:r w:rsidR="00A4065F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</w:t>
            </w:r>
          </w:p>
          <w:p w14:paraId="603ADDF4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74570186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3CE6910A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DC09EA" w14:paraId="65F32BA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8E26A2A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r w:rsidR="006E2B07" w:rsidRPr="00834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10FAA18" w14:textId="77777777" w:rsidR="00703B3E" w:rsidRPr="00C40AC4" w:rsidRDefault="00E234C0" w:rsidP="00D106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(5…10 публікацій, в </w:t>
            </w:r>
            <w:proofErr w:type="spellStart"/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</w:t>
            </w:r>
            <w:r w:rsidR="00A42B67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40FD3695" w14:textId="5238CBCF" w:rsidR="000737A6" w:rsidRPr="00C40AC4" w:rsidRDefault="0081081E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lang w:val="uk-UA"/>
              </w:rPr>
            </w:pPr>
            <w:r w:rsidRPr="00C40AC4">
              <w:rPr>
                <w:rStyle w:val="rvts82"/>
                <w:sz w:val="24"/>
                <w:szCs w:val="24"/>
              </w:rPr>
              <w:t xml:space="preserve">Kopcha, V., Mamontov, I., </w:t>
            </w:r>
            <w:proofErr w:type="gramStart"/>
            <w:r w:rsidRPr="00C40AC4">
              <w:rPr>
                <w:rStyle w:val="rvts82"/>
                <w:sz w:val="24"/>
                <w:szCs w:val="24"/>
              </w:rPr>
              <w:t>Reznik ,</w:t>
            </w:r>
            <w:proofErr w:type="gramEnd"/>
            <w:r w:rsidRPr="00C40AC4">
              <w:rPr>
                <w:rStyle w:val="rvts82"/>
                <w:sz w:val="24"/>
                <w:szCs w:val="24"/>
              </w:rPr>
              <w:t xml:space="preserve"> H., Semko V., &amp;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Yakhno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>, O.</w:t>
            </w:r>
            <w:r w:rsidRPr="00C40AC4">
              <w:t xml:space="preserve"> </w:t>
            </w:r>
            <w:r w:rsidRPr="00C40AC4">
              <w:rPr>
                <w:rStyle w:val="rvts82"/>
                <w:sz w:val="24"/>
                <w:szCs w:val="24"/>
              </w:rPr>
              <w:t xml:space="preserve">Forms of implementation of legal policy in the field of civil law: Formas de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aplicación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de la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política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jurídica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en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el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</w:rPr>
              <w:t>ámbito</w:t>
            </w:r>
            <w:proofErr w:type="spellEnd"/>
            <w:r w:rsidRPr="00C40AC4">
              <w:rPr>
                <w:rStyle w:val="rvts82"/>
                <w:sz w:val="24"/>
                <w:szCs w:val="24"/>
              </w:rPr>
              <w:t xml:space="preserve"> del derecho civil.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fr-FR"/>
              </w:rPr>
              <w:t>Cuestiones</w:t>
            </w:r>
            <w:proofErr w:type="spellEnd"/>
            <w:r w:rsidRPr="00C40AC4">
              <w:rPr>
                <w:rStyle w:val="rvts8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fr-FR"/>
              </w:rPr>
              <w:t>Políticas</w:t>
            </w:r>
            <w:proofErr w:type="spellEnd"/>
            <w:r w:rsidRPr="00C40AC4">
              <w:rPr>
                <w:rStyle w:val="rvts82"/>
                <w:sz w:val="24"/>
                <w:szCs w:val="24"/>
                <w:lang w:val="fr-FR"/>
              </w:rPr>
              <w:t xml:space="preserve">. </w:t>
            </w:r>
            <w:r w:rsidR="00875A33" w:rsidRPr="00C40AC4">
              <w:rPr>
                <w:lang w:val="fr-FR"/>
              </w:rPr>
              <w:t xml:space="preserve"> </w:t>
            </w:r>
            <w:r w:rsidR="00875A33" w:rsidRPr="00C40AC4">
              <w:rPr>
                <w:rStyle w:val="rvts82"/>
                <w:sz w:val="24"/>
                <w:szCs w:val="24"/>
                <w:lang w:val="fr-FR"/>
              </w:rPr>
              <w:t>Vol 40, № 73 (2022), 693-712.</w:t>
            </w:r>
            <w:r w:rsidR="00875A33" w:rsidRPr="00C40AC4">
              <w:rPr>
                <w:lang w:val="fr-FR"/>
              </w:rPr>
              <w:t xml:space="preserve"> </w:t>
            </w:r>
            <w:hyperlink r:id="rId7" w:history="1">
              <w:r w:rsidR="000737A6" w:rsidRPr="00C40AC4">
                <w:rPr>
                  <w:rStyle w:val="a3"/>
                  <w:sz w:val="24"/>
                  <w:szCs w:val="24"/>
                  <w:lang w:val="fr-FR"/>
                </w:rPr>
                <w:t>https://produccioncientificaluz.org/index.php/cuestiones/article/view/38517/42787</w:t>
              </w:r>
            </w:hyperlink>
            <w:r w:rsidR="00875A33" w:rsidRPr="00C40AC4">
              <w:rPr>
                <w:lang w:val="fr-FR"/>
              </w:rPr>
              <w:t xml:space="preserve"> </w:t>
            </w:r>
          </w:p>
          <w:p w14:paraId="4D23C021" w14:textId="77777777" w:rsidR="00D45AF3" w:rsidRPr="00C40AC4" w:rsidRDefault="00875A33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fr-FR"/>
              </w:rPr>
            </w:pPr>
            <w:proofErr w:type="gramStart"/>
            <w:r w:rsidRPr="00C40AC4">
              <w:rPr>
                <w:rStyle w:val="rvts82"/>
                <w:sz w:val="24"/>
                <w:szCs w:val="24"/>
                <w:lang w:val="fr-FR"/>
              </w:rPr>
              <w:t>DOI:</w:t>
            </w:r>
            <w:proofErr w:type="gramEnd"/>
            <w:r w:rsidRPr="00C40AC4">
              <w:rPr>
                <w:rStyle w:val="rvts82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C40AC4">
                <w:rPr>
                  <w:rStyle w:val="a3"/>
                  <w:sz w:val="24"/>
                  <w:szCs w:val="24"/>
                  <w:lang w:val="fr-FR"/>
                </w:rPr>
                <w:t>https://doi.org/10.46398/cuestpol.4073.39</w:t>
              </w:r>
            </w:hyperlink>
          </w:p>
          <w:p w14:paraId="0388777C" w14:textId="6C068C14" w:rsidR="001316A0" w:rsidRPr="00C40AC4" w:rsidRDefault="001316A0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Семко В. Л.,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Баєва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 Ю. Є.</w:t>
            </w:r>
            <w:r w:rsidRPr="00C40AC4">
              <w:rPr>
                <w:lang w:val="ru-RU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Румунський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націоналізм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історичному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контексті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коріння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історія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ru-RU"/>
              </w:rPr>
              <w:t>перспективи</w:t>
            </w:r>
            <w:proofErr w:type="spellEnd"/>
            <w:r w:rsidRPr="00C40AC4">
              <w:rPr>
                <w:rStyle w:val="rvts82"/>
                <w:sz w:val="24"/>
                <w:szCs w:val="24"/>
                <w:lang w:val="ru-RU"/>
              </w:rPr>
              <w:t xml:space="preserve">. </w:t>
            </w:r>
            <w:r w:rsidRPr="00C40AC4">
              <w:rPr>
                <w:lang w:val="ru-RU"/>
              </w:rPr>
              <w:t xml:space="preserve">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fr-FR"/>
              </w:rPr>
              <w:t>Politicus</w:t>
            </w:r>
            <w:proofErr w:type="spellEnd"/>
            <w:r w:rsidRPr="00C40AC4">
              <w:rPr>
                <w:rStyle w:val="rvts82"/>
                <w:sz w:val="24"/>
                <w:szCs w:val="24"/>
                <w:lang w:val="fr-FR"/>
              </w:rPr>
              <w:t>. № 3. 2022. C. 101-109.</w:t>
            </w:r>
            <w:r w:rsidRPr="00C40AC4">
              <w:rPr>
                <w:rStyle w:val="rvts82"/>
                <w:sz w:val="24"/>
                <w:szCs w:val="24"/>
                <w:lang w:val="fr-FR"/>
              </w:rPr>
              <w:tab/>
              <w:t xml:space="preserve"> </w:t>
            </w:r>
            <w:hyperlink r:id="rId9" w:history="1">
              <w:r w:rsidRPr="00C40AC4">
                <w:rPr>
                  <w:rStyle w:val="a3"/>
                  <w:sz w:val="24"/>
                  <w:szCs w:val="24"/>
                  <w:lang w:val="fr-FR"/>
                </w:rPr>
                <w:t>http://politicus.od.ua/3_2022/15.pdf</w:t>
              </w:r>
            </w:hyperlink>
            <w:r w:rsidRPr="00C40AC4">
              <w:rPr>
                <w:rStyle w:val="rvts82"/>
                <w:sz w:val="24"/>
                <w:szCs w:val="24"/>
                <w:lang w:val="fr-FR"/>
              </w:rPr>
              <w:t xml:space="preserve">  DOI </w:t>
            </w:r>
            <w:hyperlink r:id="rId10" w:history="1">
              <w:r w:rsidRPr="00C40AC4">
                <w:rPr>
                  <w:rStyle w:val="a3"/>
                  <w:sz w:val="24"/>
                  <w:szCs w:val="24"/>
                  <w:lang w:val="fr-FR"/>
                </w:rPr>
                <w:t>https://doi.org/10.24195/2414- 9616.2022-3.15</w:t>
              </w:r>
            </w:hyperlink>
          </w:p>
          <w:p w14:paraId="255C8FBD" w14:textId="0E48A51D" w:rsidR="00440153" w:rsidRPr="00C40AC4" w:rsidRDefault="00440153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sz w:val="24"/>
                <w:szCs w:val="24"/>
                <w:lang w:val="ru-RU"/>
              </w:rPr>
              <w:t>Семко В. Л.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C40AC4">
              <w:rPr>
                <w:lang w:val="ru-RU"/>
              </w:rPr>
              <w:t xml:space="preserve"> 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Стале територіально-просторове планування в контексті відновлення України – визначення, принципи, критерії та завдання. </w:t>
            </w:r>
            <w:r w:rsidRPr="00C40AC4">
              <w:rPr>
                <w:lang w:val="ru-RU"/>
              </w:rPr>
              <w:t xml:space="preserve"> 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Просторовий розвиток: Науковий збірник. </w:t>
            </w:r>
            <w:r w:rsidR="00BC47A1" w:rsidRPr="00C40AC4">
              <w:rPr>
                <w:rStyle w:val="rvts82"/>
                <w:sz w:val="24"/>
                <w:szCs w:val="24"/>
                <w:lang w:val="uk-UA"/>
              </w:rPr>
              <w:t xml:space="preserve">2022. 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№ 1. С. 254–267. </w:t>
            </w:r>
            <w:hyperlink r:id="rId11" w:history="1">
              <w:r w:rsidRPr="00C40AC4">
                <w:rPr>
                  <w:rStyle w:val="a3"/>
                  <w:sz w:val="24"/>
                  <w:szCs w:val="24"/>
                  <w:lang w:val="uk-UA"/>
                </w:rPr>
                <w:t>http://spd.knuba.edu.ua/article/view/272822/268373</w:t>
              </w:r>
            </w:hyperlink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 </w:t>
            </w:r>
          </w:p>
          <w:p w14:paraId="6E612B43" w14:textId="17001662" w:rsidR="00A755B1" w:rsidRPr="00C40AC4" w:rsidRDefault="00440153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DOI: </w:t>
            </w:r>
            <w:hyperlink r:id="rId12" w:history="1">
              <w:r w:rsidR="00A755B1" w:rsidRPr="00C40AC4">
                <w:rPr>
                  <w:rStyle w:val="a3"/>
                  <w:sz w:val="24"/>
                  <w:szCs w:val="24"/>
                  <w:lang w:val="uk-UA"/>
                </w:rPr>
                <w:t>https://doi.org/10.32347/2786-7269.2022.1.254-267</w:t>
              </w:r>
            </w:hyperlink>
          </w:p>
          <w:p w14:paraId="20C58E45" w14:textId="4CB4D6DC" w:rsidR="00BC47A1" w:rsidRPr="00C40AC4" w:rsidRDefault="00BC47A1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C40AC4">
              <w:rPr>
                <w:rStyle w:val="rvts82"/>
                <w:sz w:val="24"/>
                <w:szCs w:val="24"/>
                <w:lang w:val="uk-UA"/>
              </w:rPr>
              <w:t>Семко</w:t>
            </w:r>
            <w:proofErr w:type="spellEnd"/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В. Л.</w:t>
            </w:r>
            <w:r w:rsidRPr="00C40AC4">
              <w:rPr>
                <w:lang w:val="ru-RU"/>
              </w:rPr>
              <w:t xml:space="preserve"> 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Проблеми та ризики децентралізації влади в Україні: огляд експертної думки. </w:t>
            </w:r>
            <w:r w:rsidRPr="00C40AC4">
              <w:rPr>
                <w:lang w:val="ru-RU"/>
              </w:rPr>
              <w:t xml:space="preserve"> </w:t>
            </w: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Просторовий розвиток: Науковий збірник. 2024. № 7. С. 562 – 576. </w:t>
            </w:r>
            <w:hyperlink r:id="rId13" w:history="1">
              <w:r w:rsidRPr="00C40AC4">
                <w:rPr>
                  <w:rStyle w:val="a3"/>
                  <w:sz w:val="24"/>
                  <w:szCs w:val="24"/>
                  <w:lang w:val="uk-UA"/>
                </w:rPr>
                <w:t>http://spd.knuba.edu.ua/article/view/302656/294621</w:t>
              </w:r>
            </w:hyperlink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68CB99AD" w14:textId="50A399F3" w:rsidR="009C233F" w:rsidRPr="00C40AC4" w:rsidRDefault="00BC47A1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DOI: </w:t>
            </w:r>
            <w:hyperlink r:id="rId14" w:history="1">
              <w:r w:rsidR="009C233F" w:rsidRPr="00C40AC4">
                <w:rPr>
                  <w:rStyle w:val="a3"/>
                  <w:sz w:val="24"/>
                  <w:szCs w:val="24"/>
                  <w:lang w:val="uk-UA"/>
                </w:rPr>
                <w:t>https://doi.org/10.32347/2786-7269.2024.7.562-576</w:t>
              </w:r>
            </w:hyperlink>
          </w:p>
          <w:p w14:paraId="7E64BC10" w14:textId="21B7C310" w:rsidR="00D10607" w:rsidRPr="00C40AC4" w:rsidRDefault="009C233F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C40AC4">
              <w:rPr>
                <w:rStyle w:val="rvts82"/>
                <w:sz w:val="24"/>
                <w:szCs w:val="24"/>
                <w:lang w:val="uk-UA"/>
              </w:rPr>
              <w:t>Перегуда</w:t>
            </w:r>
            <w:proofErr w:type="spellEnd"/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Є. В., </w:t>
            </w:r>
            <w:proofErr w:type="spellStart"/>
            <w:r w:rsidRPr="00C40AC4">
              <w:rPr>
                <w:rStyle w:val="rvts82"/>
                <w:sz w:val="24"/>
                <w:szCs w:val="24"/>
                <w:lang w:val="uk-UA"/>
              </w:rPr>
              <w:t>Семко</w:t>
            </w:r>
            <w:proofErr w:type="spellEnd"/>
            <w:r w:rsidRPr="00C40AC4">
              <w:rPr>
                <w:rStyle w:val="rvts82"/>
                <w:sz w:val="24"/>
                <w:szCs w:val="24"/>
                <w:lang w:val="uk-UA"/>
              </w:rPr>
              <w:t xml:space="preserve"> В. Л.</w:t>
            </w:r>
            <w:r w:rsidR="00D10607" w:rsidRPr="00C40AC4">
              <w:rPr>
                <w:lang w:val="ru-RU"/>
              </w:rPr>
              <w:t xml:space="preserve"> </w:t>
            </w:r>
            <w:proofErr w:type="spellStart"/>
            <w:r w:rsidR="00D10607" w:rsidRPr="00C40AC4">
              <w:rPr>
                <w:rStyle w:val="rvts82"/>
                <w:sz w:val="24"/>
                <w:szCs w:val="24"/>
                <w:lang w:val="uk-UA"/>
              </w:rPr>
              <w:t>Етнополітичний</w:t>
            </w:r>
            <w:proofErr w:type="spellEnd"/>
            <w:r w:rsidR="00D10607" w:rsidRPr="00C40AC4">
              <w:rPr>
                <w:rStyle w:val="rvts82"/>
                <w:sz w:val="24"/>
                <w:szCs w:val="24"/>
                <w:lang w:val="uk-UA"/>
              </w:rPr>
              <w:t xml:space="preserve"> аспект реформи місцевого</w:t>
            </w:r>
            <w:r w:rsidR="00FE739D" w:rsidRPr="00C40AC4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="00D10607" w:rsidRPr="00C40AC4">
              <w:rPr>
                <w:rStyle w:val="rvts82"/>
                <w:sz w:val="24"/>
                <w:szCs w:val="24"/>
                <w:lang w:val="uk-UA"/>
              </w:rPr>
              <w:t xml:space="preserve">самоврядування в Україні. </w:t>
            </w:r>
            <w:r w:rsidR="00D10607" w:rsidRPr="00C40AC4">
              <w:rPr>
                <w:lang w:val="ru-RU"/>
              </w:rPr>
              <w:t xml:space="preserve"> </w:t>
            </w:r>
            <w:r w:rsidR="00D10607" w:rsidRPr="00C40AC4">
              <w:rPr>
                <w:rStyle w:val="rvts82"/>
                <w:sz w:val="24"/>
                <w:szCs w:val="24"/>
                <w:lang w:val="uk-UA"/>
              </w:rPr>
              <w:t xml:space="preserve">Просторовий розвиток: Науковий збірник. </w:t>
            </w:r>
            <w:r w:rsidR="00D10607" w:rsidRPr="00C40AC4">
              <w:rPr>
                <w:lang w:val="ru-RU"/>
              </w:rPr>
              <w:t xml:space="preserve"> </w:t>
            </w:r>
            <w:r w:rsidR="00D10607" w:rsidRPr="00C40AC4">
              <w:rPr>
                <w:rStyle w:val="rvts82"/>
                <w:sz w:val="24"/>
                <w:szCs w:val="24"/>
                <w:lang w:val="uk-UA"/>
              </w:rPr>
              <w:t xml:space="preserve">К., КНУБА, 2024.Вип. 8.  623 с. C. 573 – 589. </w:t>
            </w:r>
            <w:hyperlink r:id="rId15" w:history="1">
              <w:r w:rsidR="00D10607" w:rsidRPr="00C40AC4">
                <w:rPr>
                  <w:rStyle w:val="a3"/>
                  <w:sz w:val="24"/>
                  <w:szCs w:val="24"/>
                  <w:lang w:val="uk-UA"/>
                </w:rPr>
                <w:t>http://spd.knuba.edu.ua/article/view/316005/306655</w:t>
              </w:r>
            </w:hyperlink>
            <w:r w:rsidR="00D10607" w:rsidRPr="00C40AC4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798FB41C" w14:textId="77777777" w:rsidR="009C233F" w:rsidRPr="00C40AC4" w:rsidRDefault="00D10607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sz w:val="24"/>
                <w:szCs w:val="24"/>
                <w:lang w:val="uk-UA"/>
              </w:rPr>
              <w:t>DOI:  10.32347/2786-7269.2024.8.573-589</w:t>
            </w:r>
          </w:p>
          <w:p w14:paraId="7CEE8863" w14:textId="4735CD11" w:rsidR="00A071E1" w:rsidRPr="00C40AC4" w:rsidRDefault="00FE739D" w:rsidP="00C40AC4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C40AC4">
              <w:rPr>
                <w:sz w:val="24"/>
                <w:szCs w:val="24"/>
                <w:lang w:val="uk-UA"/>
              </w:rPr>
              <w:t>Семко</w:t>
            </w:r>
            <w:proofErr w:type="spellEnd"/>
            <w:r w:rsidRPr="00C40AC4">
              <w:rPr>
                <w:sz w:val="24"/>
                <w:szCs w:val="24"/>
                <w:lang w:val="uk-UA"/>
              </w:rPr>
              <w:t xml:space="preserve">, В. Л. Визначення завдань місцевого самоврядування в Україні: концептуальні підходи в контексті реформи децентралізації. Просторовий розвиток: Науковий збірник. К., КНУБА  2024. </w:t>
            </w:r>
            <w:proofErr w:type="spellStart"/>
            <w:r w:rsidRPr="00C40AC4">
              <w:rPr>
                <w:sz w:val="24"/>
                <w:szCs w:val="24"/>
                <w:lang w:val="uk-UA"/>
              </w:rPr>
              <w:t>Вип</w:t>
            </w:r>
            <w:proofErr w:type="spellEnd"/>
            <w:r w:rsidRPr="00C40AC4">
              <w:rPr>
                <w:sz w:val="24"/>
                <w:szCs w:val="24"/>
                <w:lang w:val="uk-UA"/>
              </w:rPr>
              <w:t>. 10. С. 720–731.  http://spd.knuba.edu.ua/article/view/324347 DOI://doi.org/10.32347/2786-7269.2024.10.720-731</w:t>
            </w:r>
          </w:p>
        </w:tc>
      </w:tr>
      <w:tr w:rsidR="00703B3E" w:rsidRPr="00DC09EA" w14:paraId="32C388E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CDEC93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9DAF0A4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6F4EA85B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9D90AA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577C1B3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68A44C" w14:textId="77777777" w:rsidR="00703B3E" w:rsidRPr="007C0D89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373B3ED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18CA6D68" w14:textId="77777777" w:rsidR="005513CB" w:rsidRPr="00DC09EA" w:rsidRDefault="005513CB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28D3EE3F" w14:textId="77777777" w:rsidR="005513CB" w:rsidRPr="00DC09EA" w:rsidRDefault="008C5762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  <w:p w14:paraId="6567BAF4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40AC4" w14:paraId="2848B6E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F2C5755" w14:textId="77777777" w:rsidR="00703B3E" w:rsidRPr="007C0D89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31F2F9E" w14:textId="77777777" w:rsidR="00BB1785" w:rsidRPr="00C40AC4" w:rsidRDefault="00BB1785" w:rsidP="00BB1785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(3…10 публікацій, в </w:t>
            </w:r>
            <w:proofErr w:type="spellStart"/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 w:rsidRPr="00C40AC4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B14B66" w:rsidRPr="00C40AC4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праці</w:t>
            </w:r>
          </w:p>
          <w:p w14:paraId="151F29BE" w14:textId="77777777" w:rsidR="002839CB" w:rsidRPr="00C40AC4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Етнополітика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Київ-Тернопіль: КНУБА, Ф-ОП Шпак В.Б., 2021; 26 с.</w:t>
            </w:r>
            <w:r w:rsidR="00914A84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6" w:history="1"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elib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knuba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DocumentDescription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docid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KvKNUBA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.1779327</w:t>
              </w:r>
            </w:hyperlink>
            <w:r w:rsidR="00914A84" w:rsidRPr="00C40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31EED3" w14:textId="27C88877" w:rsidR="002839CB" w:rsidRPr="00C40AC4" w:rsidRDefault="002839CB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proofErr w:type="spellStart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Перегуда</w:t>
            </w:r>
            <w:proofErr w:type="spellEnd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Є. В., </w:t>
            </w:r>
            <w:proofErr w:type="spellStart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Яхно</w:t>
            </w:r>
            <w:proofErr w:type="spellEnd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О. О., </w:t>
            </w:r>
            <w:proofErr w:type="spellStart"/>
            <w:r w:rsidRPr="00C40AC4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/>
              </w:rPr>
              <w:t>Семко</w:t>
            </w:r>
            <w:proofErr w:type="spellEnd"/>
            <w:r w:rsidRPr="00C40AC4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В. Л.,</w:t>
            </w:r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proofErr w:type="spellStart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Оксюковський</w:t>
            </w:r>
            <w:proofErr w:type="spellEnd"/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П. П. Соціологія: електронний курс для здобувачів першого (бакалаврського) рівня вищої освіти за освітньою програмою «Міське будівництво і господарство», спеціальність 073 Менеджмент 192 Будівництво та цивільна інженерія. </w:t>
            </w:r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URL</w:t>
            </w:r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hyperlink r:id="rId17" w:history="1">
              <w:r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https://org2.knuba.edu.ua/course/view.php?id=967</w:t>
              </w:r>
            </w:hyperlink>
            <w:r w:rsidRPr="00C40AC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затверджений Вченою радою КНУБА (протокол від 24.11.2023 № 15).</w:t>
            </w:r>
          </w:p>
          <w:p w14:paraId="112250E9" w14:textId="77777777" w:rsidR="002839CB" w:rsidRPr="00C40AC4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Політика національної пам’яті: методичні рекомендації до вивчення </w:t>
            </w: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дисципліни для спеціальності 052 «Політологія».  Київ-Тернопіль: КНУБА, Ф-ОП Шпак В.Б., 2021. 22 с.</w:t>
            </w:r>
            <w:r w:rsidR="002839CB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8" w:history="1"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elib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knuba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DocumentDescription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docid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KvKNUBA</w:t>
              </w:r>
              <w:r w:rsidR="0012655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.1779587</w:t>
              </w:r>
            </w:hyperlink>
            <w:r w:rsidR="0012655B" w:rsidRPr="00C40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75B7F9" w14:textId="7E5A5A1E" w:rsidR="002839CB" w:rsidRPr="00C40AC4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Політична антропологія: методичні рекомендації до вивчення дисципліни для спеціальності 052 «Політологія».  Київ-Тернопіль: КНУБА, Ф-ОП Шпак В.Б., 202</w:t>
            </w:r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 </w:t>
            </w:r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1375C" w:rsidRPr="00C40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A1375C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URL:</w:t>
            </w:r>
            <w:r w:rsidR="002839CB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7419" w:rsidRPr="00C40AC4">
              <w:rPr>
                <w:lang w:val="uk-UA"/>
              </w:rPr>
              <w:t xml:space="preserve"> </w:t>
            </w:r>
            <w:hyperlink r:id="rId19" w:history="1"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elib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knuba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DocumentDescription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docid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KvKNUBA</w:t>
              </w:r>
              <w:proofErr w:type="spellEnd"/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.1779606</w:t>
              </w:r>
            </w:hyperlink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D740861" w14:textId="77777777" w:rsidR="002839CB" w:rsidRPr="00C40AC4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Уклад.: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Згурська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В.Л.,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Гербут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Н.А.,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 В.,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Семко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 та </w:t>
            </w:r>
            <w:r w:rsidR="00BE333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BE333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 Київ-Тернопіль: КНУБА, ФО-П Шпак В. Б., 2022. 58 с.</w:t>
            </w:r>
            <w:r w:rsidR="00914A84" w:rsidRPr="00C40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4A84" w:rsidRPr="00C40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914A84" w:rsidRPr="00C40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  <w:hyperlink r:id="rId20" w:history="1"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surl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2655B" w:rsidRPr="00C40A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lntnj</w:t>
              </w:r>
            </w:hyperlink>
            <w:r w:rsidR="00914A84" w:rsidRPr="00C40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839CB" w:rsidRPr="00C40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1" w:history="1"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elib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knuba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DocumentDescription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docid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KvKNUBA</w:t>
              </w:r>
              <w:r w:rsidR="002839CB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.1779043</w:t>
              </w:r>
            </w:hyperlink>
            <w:r w:rsidR="0012655B" w:rsidRPr="00C40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DBF14D" w14:textId="4D35D9D7" w:rsidR="002839CB" w:rsidRPr="00C40AC4" w:rsidRDefault="0017791B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proofErr w:type="spellStart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Етнополітика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Київ-Тернопіль: КНУБА, Ф-ОП Шпак В.Б., 2021; 26 с. URL: </w:t>
            </w:r>
            <w:r w:rsidR="00EF7419" w:rsidRPr="00C40AC4">
              <w:rPr>
                <w:lang w:val="uk-UA"/>
              </w:rPr>
              <w:t xml:space="preserve"> </w:t>
            </w:r>
            <w:hyperlink r:id="rId22" w:history="1">
              <w:r w:rsidR="00EF7419" w:rsidRPr="00C40A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https://elib.knuba.edu.ua/library/DocumentDescription?docid=KvKNUBA.1779327</w:t>
              </w:r>
            </w:hyperlink>
            <w:r w:rsidR="00EF7419" w:rsidRPr="00C40AC4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72241F1" w14:textId="0B0A2071" w:rsidR="00BC3E36" w:rsidRPr="00C40AC4" w:rsidRDefault="00BC3E36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Етнополітологія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етнодержавознавство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Методичні рекомендації до вивчення</w:t>
            </w:r>
            <w:r w:rsidR="00774D9A"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дисципліни для аспірантів спеціальності «Політологія». Уклад.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В.Л.Семко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Є.В.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Перегуда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КиївТернопіль</w:t>
            </w:r>
            <w:proofErr w:type="spellEnd"/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КНУБА, Ф-ОП Шпак В.Б., 2023. 30 с. URL:</w:t>
            </w:r>
            <w:r w:rsidR="002839CB"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  <w:t xml:space="preserve"> </w:t>
            </w:r>
            <w:r w:rsidRPr="00C40AC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https://org2.knuba.edu.ua/pluginfile.php/247237/mod_resource/content/1/metodrekomendatsii_23.pdf.</w:t>
            </w:r>
          </w:p>
        </w:tc>
      </w:tr>
      <w:tr w:rsidR="00703B3E" w:rsidRPr="00DC09EA" w14:paraId="456D857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89EB662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BC792FC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425EAF07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2F2483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5A5417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CCCD36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6EE99B28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DCEDB2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3C8409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463A571" w14:textId="77777777" w:rsidR="00703B3E" w:rsidRPr="00D06C79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</w:tc>
      </w:tr>
      <w:tr w:rsidR="00703B3E" w:rsidRPr="00C40AC4" w14:paraId="4BB8171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3BA781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39D7C59" w14:textId="77777777" w:rsidR="00703B3E" w:rsidRPr="00941BD6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</w:tc>
      </w:tr>
      <w:tr w:rsidR="00703B3E" w:rsidRPr="00DC09EA" w14:paraId="077DB43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05A55A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комісій (підкомісій) з вищої або фахової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495878B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1E09BC9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C7872B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наукових та/</w:t>
            </w:r>
            <w:r w:rsidR="00BF4F55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3D56ED5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936FA" w14:paraId="3127476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693E2A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26C55E0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C40AC4" w14:paraId="10F5A7F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EBB3E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F62860E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оформлення бібліографічного опису згідно з ДСТУ 8302:2015 (5…10 публікацій, в </w:t>
            </w:r>
            <w:proofErr w:type="spellStart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т.ч</w:t>
            </w:r>
            <w:proofErr w:type="spellEnd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які стосуються освітньої компоненти (дисципліни), що викладається), обов’язково URL місцезнаходження публікації</w:t>
            </w:r>
          </w:p>
          <w:p w14:paraId="6AA52B86" w14:textId="391C75C9" w:rsidR="001C6F8D" w:rsidRPr="00C40AC4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color w:val="000000" w:themeColor="text1"/>
                <w:lang w:val="uk-UA"/>
              </w:rPr>
            </w:pP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lastRenderedPageBreak/>
              <w:t>Семко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В. Л. Суспільні блага та їх роль у реалізації прав людини. Збірник матеріалів тез доповідей Всеукраїнської науково-практичної конференції «Національний та міжнародний механізм захисту прав людини: постмодерні тенденції розвитку, виклики та шляхи модернізації» (Київ, 26 лютого 2021 р.). Київ-Тернопіль: КНУБА. 2021. С. 96 – 100.</w:t>
            </w:r>
          </w:p>
          <w:p w14:paraId="5D83AF76" w14:textId="77777777" w:rsidR="001C6F8D" w:rsidRPr="00C40AC4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color w:val="000000" w:themeColor="text1"/>
                <w:lang w:val="uk-UA"/>
              </w:rPr>
            </w:pP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Семко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В. Л. Міська агломерація: соціально-правовий аспект формування та функціонування.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 xml:space="preserve">Будівельне право: теорія та практика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містопланування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та містобудування.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Зб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. наук. пр.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Вип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. V. За матеріалами П’ятої Міжнародної наук.-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практ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конф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. «Будівельне право» (Київ, 10 грудня 2021 р.)/ Мін-во освіти і науки України, Київ.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нац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. ун-т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будівн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. і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архіт-ри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та ін. Київ–Тернопіль : КНУБА, «Економічна думка», 2021. https://surl.lu/lwcrmj</w:t>
            </w:r>
          </w:p>
          <w:p w14:paraId="3EACD81F" w14:textId="0AEBA8A6" w:rsidR="001C6F8D" w:rsidRPr="00C40AC4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color w:val="000000" w:themeColor="text1"/>
                <w:lang w:val="uk-UA"/>
              </w:rPr>
            </w:pP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Семко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В. Л., Баєва Ю. Є. Всеукраїнський перепис населення у контексті просторового планування та сучасних політичних реалій Урбаністичний форум.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Зб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. наук. пр. За мат. Міжнародних наукових конференцій «Просторове планування» (28 квітня 2023 р.) та «Будівельне право» (5 травня 2023 р.). В 2-х ч. Київ-Тернопіль: КНУБА, «Бескиди», 2023. Частина 1. 245 с. С. 75-78.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>https://library.knuba.edu.ua/books/zbirniki/34/zbirnik-materialiv-urban-forum-2023-chastina-1.pdf</w:t>
            </w:r>
          </w:p>
          <w:p w14:paraId="4FA72A28" w14:textId="3086CE80" w:rsidR="001C6F8D" w:rsidRPr="00C40AC4" w:rsidRDefault="001C6F8D" w:rsidP="001C6F8D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Семко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 xml:space="preserve"> В. Л.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Понятійно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-категоріальний апарат комплексної правової характеристики рекреаційної зони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>друк.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 xml:space="preserve">Урбаністичний форум. </w:t>
            </w: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Зб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. наук. пр. За мат. Міжнародних наукових конференцій «Просторове планування» (28 квітня 2023 р.) та «Будівельне право» (5 травня 2023 р.). В 2-х ч. Київ-Тернопіль: КНУБА, «Бескиди», 2023. Частина 1. 245 с. С. 211-224. https://library.knuba.edu.ua/books/zbirniki/34/zbirnik-materialiv-urban-forum-2023-chastina-1.pdf</w:t>
            </w:r>
          </w:p>
          <w:p w14:paraId="29432BD7" w14:textId="378309D1" w:rsidR="00E46C28" w:rsidRPr="001C6F8D" w:rsidRDefault="001C6F8D" w:rsidP="001C6F8D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Семко</w:t>
            </w:r>
            <w:proofErr w:type="spellEnd"/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>, В. Л. Базові засади співробітництва України з Європейським союзом у сфері вищої освіти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>друк.</w:t>
            </w:r>
            <w:r w:rsidRPr="00C40AC4">
              <w:rPr>
                <w:rFonts w:asciiTheme="majorBidi" w:hAnsiTheme="majorBidi" w:cstheme="majorBidi"/>
                <w:color w:val="000000" w:themeColor="text1"/>
                <w:lang w:val="uk-UA"/>
              </w:rPr>
              <w:tab/>
              <w:t>КНУБА</w:t>
            </w:r>
            <w:r w:rsidRPr="001C6F8D">
              <w:rPr>
                <w:rFonts w:asciiTheme="majorBidi" w:hAnsiTheme="majorBidi" w:cstheme="majorBidi"/>
                <w:lang w:val="uk-UA"/>
              </w:rPr>
              <w:t xml:space="preserve">: 95 років історії, традицій і розвитку : збірник тез / Київ. </w:t>
            </w:r>
            <w:proofErr w:type="spellStart"/>
            <w:r w:rsidRPr="001C6F8D">
              <w:rPr>
                <w:rFonts w:asciiTheme="majorBidi" w:hAnsiTheme="majorBidi" w:cstheme="majorBidi"/>
                <w:lang w:val="uk-UA"/>
              </w:rPr>
              <w:t>нац</w:t>
            </w:r>
            <w:proofErr w:type="spellEnd"/>
            <w:r w:rsidRPr="001C6F8D">
              <w:rPr>
                <w:rFonts w:asciiTheme="majorBidi" w:hAnsiTheme="majorBidi" w:cstheme="majorBidi"/>
                <w:lang w:val="uk-UA"/>
              </w:rPr>
              <w:t xml:space="preserve">. ун-т буд-ва і архітектури ; </w:t>
            </w:r>
            <w:proofErr w:type="spellStart"/>
            <w:r w:rsidRPr="001C6F8D">
              <w:rPr>
                <w:rFonts w:asciiTheme="majorBidi" w:hAnsiTheme="majorBidi" w:cstheme="majorBidi"/>
                <w:lang w:val="uk-UA"/>
              </w:rPr>
              <w:t>редкол</w:t>
            </w:r>
            <w:proofErr w:type="spellEnd"/>
            <w:r w:rsidRPr="001C6F8D">
              <w:rPr>
                <w:rFonts w:asciiTheme="majorBidi" w:hAnsiTheme="majorBidi" w:cstheme="majorBidi"/>
                <w:lang w:val="uk-UA"/>
              </w:rPr>
              <w:t>.: В.Ф. Деревінський (голова) [та ін.]. – Київ–Тернопіль : Бескиди, 2025. –</w:t>
            </w:r>
            <w:r>
              <w:rPr>
                <w:rFonts w:asciiTheme="majorBidi" w:hAnsiTheme="majorBidi" w:cstheme="majorBidi"/>
                <w:lang w:val="uk-UA"/>
              </w:rPr>
              <w:t xml:space="preserve"> </w:t>
            </w:r>
            <w:r w:rsidRPr="001C6F8D">
              <w:rPr>
                <w:rFonts w:asciiTheme="majorBidi" w:hAnsiTheme="majorBidi" w:cstheme="majorBidi"/>
                <w:lang w:val="uk-UA"/>
              </w:rPr>
              <w:t>С. 10-14.</w:t>
            </w:r>
          </w:p>
        </w:tc>
      </w:tr>
      <w:tr w:rsidR="00703B3E" w:rsidRPr="00DC09EA" w14:paraId="40E727F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B39151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7EB8201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0795DD7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EF62DF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54F2045" w14:textId="77777777" w:rsidR="00703B3E" w:rsidRPr="00DC09EA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409C323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B5F103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8FE58AA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515708D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33E8A1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44A411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2E8545D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FB638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25B45D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0E95513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9D49B0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C4C1A2E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597B58A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159AA9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DEA379A" w14:textId="3264A7E7" w:rsidR="00703B3E" w:rsidRDefault="007A774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B7DBC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Член-кореспондент ГО «Академія політичних наук»</w:t>
            </w:r>
            <w:r w:rsidR="00595B04" w:rsidRPr="004B7DBC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Рішення Вченої ради АППН України від 25-го жовтня 2023 року, Протокол № 6. (Диплом АВ-121)</w:t>
            </w:r>
            <w:r w:rsidR="00914A84" w:rsidRPr="004B7DBC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hyperlink r:id="rId23" w:history="1">
              <w:r w:rsidR="002B3741" w:rsidRPr="004B7DB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https://knuba365.sharepoint.com/:i:/s/psh/EYqI7kare4xCnpDW-Q-7rPAB4kmXUew15_Y6VnJi9u5Bpg?e=EIGTOa</w:t>
              </w:r>
            </w:hyperlink>
          </w:p>
          <w:p w14:paraId="536031DE" w14:textId="77777777" w:rsidR="002B3741" w:rsidRDefault="002B3741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7F1FCC8" w14:textId="61F27D3A" w:rsidR="002839CB" w:rsidRPr="007A774A" w:rsidRDefault="002839C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4CD5DC5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04C9E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EC23E1F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4372CE78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67BBC5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9B36CD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924632" w14:textId="47EA6DF0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="007C0D89"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7C0D89"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. 202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</w:t>
      </w:r>
    </w:p>
    <w:p w14:paraId="639B990B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634B33A1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57089DB9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97B42D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56E7E063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981F18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1EED9497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6A3987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552DAD4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5CA62D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5FE717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10F8E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24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72FC" w14:textId="77777777" w:rsidR="009B3B35" w:rsidRDefault="009B3B35" w:rsidP="0065335E">
      <w:pPr>
        <w:spacing w:after="0" w:line="240" w:lineRule="auto"/>
      </w:pPr>
      <w:r>
        <w:separator/>
      </w:r>
    </w:p>
  </w:endnote>
  <w:endnote w:type="continuationSeparator" w:id="0">
    <w:p w14:paraId="7A5D6580" w14:textId="77777777" w:rsidR="009B3B35" w:rsidRDefault="009B3B35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mbri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80A7" w14:textId="77777777" w:rsidR="009B3B35" w:rsidRDefault="009B3B35" w:rsidP="0065335E">
      <w:pPr>
        <w:spacing w:after="0" w:line="240" w:lineRule="auto"/>
      </w:pPr>
      <w:r>
        <w:separator/>
      </w:r>
    </w:p>
  </w:footnote>
  <w:footnote w:type="continuationSeparator" w:id="0">
    <w:p w14:paraId="2A3A1403" w14:textId="77777777" w:rsidR="009B3B35" w:rsidRDefault="009B3B35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67601246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4E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A9E2FD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150"/>
    <w:multiLevelType w:val="hybridMultilevel"/>
    <w:tmpl w:val="92BA6F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848"/>
    <w:multiLevelType w:val="hybridMultilevel"/>
    <w:tmpl w:val="727A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2087156"/>
    <w:multiLevelType w:val="hybridMultilevel"/>
    <w:tmpl w:val="8272B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0F76"/>
    <w:multiLevelType w:val="hybridMultilevel"/>
    <w:tmpl w:val="CC8A7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67DFA"/>
    <w:multiLevelType w:val="hybridMultilevel"/>
    <w:tmpl w:val="67800B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7157">
    <w:abstractNumId w:val="8"/>
  </w:num>
  <w:num w:numId="2" w16cid:durableId="417606443">
    <w:abstractNumId w:val="3"/>
  </w:num>
  <w:num w:numId="3" w16cid:durableId="1692994514">
    <w:abstractNumId w:val="10"/>
  </w:num>
  <w:num w:numId="4" w16cid:durableId="450899253">
    <w:abstractNumId w:val="7"/>
  </w:num>
  <w:num w:numId="5" w16cid:durableId="204871409">
    <w:abstractNumId w:val="9"/>
  </w:num>
  <w:num w:numId="6" w16cid:durableId="1595550841">
    <w:abstractNumId w:val="0"/>
  </w:num>
  <w:num w:numId="7" w16cid:durableId="452407810">
    <w:abstractNumId w:val="5"/>
  </w:num>
  <w:num w:numId="8" w16cid:durableId="1963270989">
    <w:abstractNumId w:val="2"/>
  </w:num>
  <w:num w:numId="9" w16cid:durableId="1066149979">
    <w:abstractNumId w:val="1"/>
  </w:num>
  <w:num w:numId="10" w16cid:durableId="320700395">
    <w:abstractNumId w:val="4"/>
  </w:num>
  <w:num w:numId="11" w16cid:durableId="2132238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5E"/>
    <w:rsid w:val="0000542B"/>
    <w:rsid w:val="0000747E"/>
    <w:rsid w:val="000443DA"/>
    <w:rsid w:val="0005681B"/>
    <w:rsid w:val="0007197E"/>
    <w:rsid w:val="000737A6"/>
    <w:rsid w:val="000A5298"/>
    <w:rsid w:val="000B6CE1"/>
    <w:rsid w:val="000D1230"/>
    <w:rsid w:val="00101B58"/>
    <w:rsid w:val="00124C1D"/>
    <w:rsid w:val="0012655B"/>
    <w:rsid w:val="001316A0"/>
    <w:rsid w:val="00150CDF"/>
    <w:rsid w:val="00172B00"/>
    <w:rsid w:val="00177598"/>
    <w:rsid w:val="0017791B"/>
    <w:rsid w:val="001C6F8D"/>
    <w:rsid w:val="001D58E4"/>
    <w:rsid w:val="001E20C0"/>
    <w:rsid w:val="001E401D"/>
    <w:rsid w:val="00213C6C"/>
    <w:rsid w:val="00243D68"/>
    <w:rsid w:val="002470DA"/>
    <w:rsid w:val="002839CB"/>
    <w:rsid w:val="002A72ED"/>
    <w:rsid w:val="002B3741"/>
    <w:rsid w:val="002C0528"/>
    <w:rsid w:val="002C6053"/>
    <w:rsid w:val="002D16DA"/>
    <w:rsid w:val="00346168"/>
    <w:rsid w:val="003861AE"/>
    <w:rsid w:val="003C03D3"/>
    <w:rsid w:val="003F35D0"/>
    <w:rsid w:val="003F5D52"/>
    <w:rsid w:val="00406FE8"/>
    <w:rsid w:val="004262E1"/>
    <w:rsid w:val="00440153"/>
    <w:rsid w:val="0046642E"/>
    <w:rsid w:val="00466A5C"/>
    <w:rsid w:val="004733AB"/>
    <w:rsid w:val="00483AB2"/>
    <w:rsid w:val="004A130C"/>
    <w:rsid w:val="004B7DBC"/>
    <w:rsid w:val="005127F6"/>
    <w:rsid w:val="00515424"/>
    <w:rsid w:val="005513CB"/>
    <w:rsid w:val="00583780"/>
    <w:rsid w:val="00586349"/>
    <w:rsid w:val="00595150"/>
    <w:rsid w:val="00595B04"/>
    <w:rsid w:val="005C04F9"/>
    <w:rsid w:val="005C7699"/>
    <w:rsid w:val="00616124"/>
    <w:rsid w:val="00625C05"/>
    <w:rsid w:val="00645345"/>
    <w:rsid w:val="00646B0F"/>
    <w:rsid w:val="0065335E"/>
    <w:rsid w:val="0066403C"/>
    <w:rsid w:val="00670A73"/>
    <w:rsid w:val="006B3260"/>
    <w:rsid w:val="006C0F76"/>
    <w:rsid w:val="006C4326"/>
    <w:rsid w:val="006D0E23"/>
    <w:rsid w:val="006E2B07"/>
    <w:rsid w:val="006E7093"/>
    <w:rsid w:val="00703B3E"/>
    <w:rsid w:val="007043D3"/>
    <w:rsid w:val="00735606"/>
    <w:rsid w:val="0074175F"/>
    <w:rsid w:val="00774D9A"/>
    <w:rsid w:val="007755B1"/>
    <w:rsid w:val="00776D83"/>
    <w:rsid w:val="007A774A"/>
    <w:rsid w:val="007B3D23"/>
    <w:rsid w:val="007C0D89"/>
    <w:rsid w:val="007C4680"/>
    <w:rsid w:val="007E252D"/>
    <w:rsid w:val="007F4FD7"/>
    <w:rsid w:val="008005C0"/>
    <w:rsid w:val="0081081E"/>
    <w:rsid w:val="0081765F"/>
    <w:rsid w:val="00817ACF"/>
    <w:rsid w:val="00834892"/>
    <w:rsid w:val="0085461B"/>
    <w:rsid w:val="00875A33"/>
    <w:rsid w:val="008C5762"/>
    <w:rsid w:val="008E46E4"/>
    <w:rsid w:val="008F2A72"/>
    <w:rsid w:val="00914A84"/>
    <w:rsid w:val="0092340D"/>
    <w:rsid w:val="0093579B"/>
    <w:rsid w:val="00941BD6"/>
    <w:rsid w:val="009465F0"/>
    <w:rsid w:val="00984B12"/>
    <w:rsid w:val="009A4D29"/>
    <w:rsid w:val="009B3B35"/>
    <w:rsid w:val="009C233F"/>
    <w:rsid w:val="009E65E2"/>
    <w:rsid w:val="00A071E1"/>
    <w:rsid w:val="00A1375C"/>
    <w:rsid w:val="00A14A1E"/>
    <w:rsid w:val="00A3284E"/>
    <w:rsid w:val="00A4065F"/>
    <w:rsid w:val="00A42B67"/>
    <w:rsid w:val="00A50917"/>
    <w:rsid w:val="00A513DB"/>
    <w:rsid w:val="00A72648"/>
    <w:rsid w:val="00A755A6"/>
    <w:rsid w:val="00A755B1"/>
    <w:rsid w:val="00A86C56"/>
    <w:rsid w:val="00AB13C4"/>
    <w:rsid w:val="00AC1542"/>
    <w:rsid w:val="00AE4CA9"/>
    <w:rsid w:val="00B14B66"/>
    <w:rsid w:val="00B212C6"/>
    <w:rsid w:val="00B46551"/>
    <w:rsid w:val="00BB1785"/>
    <w:rsid w:val="00BB3895"/>
    <w:rsid w:val="00BC3E36"/>
    <w:rsid w:val="00BC47A1"/>
    <w:rsid w:val="00BE3339"/>
    <w:rsid w:val="00BE43A4"/>
    <w:rsid w:val="00BF4F55"/>
    <w:rsid w:val="00C32CE0"/>
    <w:rsid w:val="00C40AC4"/>
    <w:rsid w:val="00C55B84"/>
    <w:rsid w:val="00C6363F"/>
    <w:rsid w:val="00C744AB"/>
    <w:rsid w:val="00C84368"/>
    <w:rsid w:val="00CA0215"/>
    <w:rsid w:val="00CA5426"/>
    <w:rsid w:val="00CB2731"/>
    <w:rsid w:val="00CD58E1"/>
    <w:rsid w:val="00D06C79"/>
    <w:rsid w:val="00D10607"/>
    <w:rsid w:val="00D45AF3"/>
    <w:rsid w:val="00D63B0B"/>
    <w:rsid w:val="00D871B6"/>
    <w:rsid w:val="00D936FA"/>
    <w:rsid w:val="00D97060"/>
    <w:rsid w:val="00D97111"/>
    <w:rsid w:val="00DA5F82"/>
    <w:rsid w:val="00DC09EA"/>
    <w:rsid w:val="00DC7E63"/>
    <w:rsid w:val="00DE5ADC"/>
    <w:rsid w:val="00E15846"/>
    <w:rsid w:val="00E234C0"/>
    <w:rsid w:val="00E4188F"/>
    <w:rsid w:val="00E46C28"/>
    <w:rsid w:val="00E65BC9"/>
    <w:rsid w:val="00E80BA7"/>
    <w:rsid w:val="00E82D8E"/>
    <w:rsid w:val="00E87951"/>
    <w:rsid w:val="00EC2708"/>
    <w:rsid w:val="00ED3707"/>
    <w:rsid w:val="00ED74E7"/>
    <w:rsid w:val="00EF7419"/>
    <w:rsid w:val="00F1443A"/>
    <w:rsid w:val="00F73316"/>
    <w:rsid w:val="00F85FEE"/>
    <w:rsid w:val="00FB1E22"/>
    <w:rsid w:val="00FC0736"/>
    <w:rsid w:val="00FC5591"/>
    <w:rsid w:val="00FD27D1"/>
    <w:rsid w:val="00FE5137"/>
    <w:rsid w:val="00FE739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49E48"/>
  <w15:docId w15:val="{8F85A5FE-4494-496F-AA27-1E96D6C0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F538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F5387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FF5387"/>
    <w:rPr>
      <w:rFonts w:eastAsia="SimSu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538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FF5387"/>
    <w:rPr>
      <w:rFonts w:eastAsia="SimSun" w:cs="Calibr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F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5387"/>
    <w:rPr>
      <w:rFonts w:ascii="Segoe UI" w:eastAsia="SimSun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E709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B374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B3741"/>
    <w:rPr>
      <w:color w:val="800080" w:themeColor="followedHyperlink"/>
      <w:u w:val="single"/>
    </w:rPr>
  </w:style>
  <w:style w:type="paragraph" w:styleId="af4">
    <w:name w:val="Subtitle"/>
    <w:basedOn w:val="a"/>
    <w:next w:val="a"/>
    <w:link w:val="af5"/>
    <w:uiPriority w:val="11"/>
    <w:qFormat/>
    <w:locked/>
    <w:rsid w:val="001C6F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5">
    <w:name w:val="Підзаголовок Знак"/>
    <w:basedOn w:val="a0"/>
    <w:link w:val="af4"/>
    <w:uiPriority w:val="11"/>
    <w:rsid w:val="001C6F8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398/cuestpol.4073.39" TargetMode="External"/><Relationship Id="rId13" Type="http://schemas.openxmlformats.org/officeDocument/2006/relationships/hyperlink" Target="http://spd.knuba.edu.ua/article/view/302656/294621" TargetMode="External"/><Relationship Id="rId18" Type="http://schemas.openxmlformats.org/officeDocument/2006/relationships/hyperlink" Target="https://elib.knuba.edu.ua/library/DocumentDescription?docid=KvKNUBA.177958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.knuba.edu.ua/library/DocumentDescription?docid=KvKNUBA.1779043" TargetMode="External"/><Relationship Id="rId7" Type="http://schemas.openxmlformats.org/officeDocument/2006/relationships/hyperlink" Target="https://produccioncientificaluz.org/index.php/cuestiones/article/view/38517/42787" TargetMode="External"/><Relationship Id="rId12" Type="http://schemas.openxmlformats.org/officeDocument/2006/relationships/hyperlink" Target="https://doi.org/10.32347/2786-7269.2022.1.254-267" TargetMode="External"/><Relationship Id="rId17" Type="http://schemas.openxmlformats.org/officeDocument/2006/relationships/hyperlink" Target="https://org2.knuba.edu.ua/course/view.php?id=9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.knuba.edu.ua/library/DocumentDescription?docid=KvKNUBA.1779327" TargetMode="External"/><Relationship Id="rId20" Type="http://schemas.openxmlformats.org/officeDocument/2006/relationships/hyperlink" Target="http://surl.li/lntn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d.knuba.edu.ua/article/view/272822/268373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pd.knuba.edu.ua/article/view/316005/306655" TargetMode="External"/><Relationship Id="rId23" Type="http://schemas.openxmlformats.org/officeDocument/2006/relationships/hyperlink" Target="https://knuba365.sharepoint.com/:i:/s/psh/EYqI7kare4xCnpDW-Q-7rPAB4kmXUew15_Y6VnJi9u5Bpg?e=EIGTOa" TargetMode="External"/><Relationship Id="rId10" Type="http://schemas.openxmlformats.org/officeDocument/2006/relationships/hyperlink" Target="https://doi.org/10.24195/2414-%209616.2022-3.15" TargetMode="External"/><Relationship Id="rId19" Type="http://schemas.openxmlformats.org/officeDocument/2006/relationships/hyperlink" Target="https://elib.knuba.edu.ua/library/DocumentDescription?docid=KvKNUBA.1779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ticus.od.ua/3_2022/15.pdf" TargetMode="External"/><Relationship Id="rId14" Type="http://schemas.openxmlformats.org/officeDocument/2006/relationships/hyperlink" Target="https://doi.org/10.32347/2786-7269.2024.7.562-576" TargetMode="External"/><Relationship Id="rId22" Type="http://schemas.openxmlformats.org/officeDocument/2006/relationships/hyperlink" Target="https://elib.knuba.edu.ua/library/DocumentDescription?docid=KvKNUBA.177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11243</Words>
  <Characters>6409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40</cp:revision>
  <dcterms:created xsi:type="dcterms:W3CDTF">2025-01-09T20:21:00Z</dcterms:created>
  <dcterms:modified xsi:type="dcterms:W3CDTF">2026-02-20T11:59:00Z</dcterms:modified>
</cp:coreProperties>
</file>