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Y="1201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8505"/>
      </w:tblGrid>
      <w:tr w:rsidR="00C654E1" w14:paraId="465EF628" w14:textId="77777777" w:rsidTr="004670E7">
        <w:trPr>
          <w:trHeight w:val="652"/>
        </w:trPr>
        <w:tc>
          <w:tcPr>
            <w:tcW w:w="14992" w:type="dxa"/>
            <w:gridSpan w:val="2"/>
          </w:tcPr>
          <w:p w14:paraId="51BD32FC" w14:textId="77777777" w:rsidR="00C654E1" w:rsidRPr="00C654E1" w:rsidRDefault="00C654E1" w:rsidP="00467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28" w:lineRule="auto"/>
              <w:ind w:left="4248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654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Кафедра політичних наук та історії</w:t>
            </w:r>
          </w:p>
          <w:p w14:paraId="6259D83E" w14:textId="77777777" w:rsidR="00C654E1" w:rsidRPr="00C654E1" w:rsidRDefault="00C654E1" w:rsidP="00467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28" w:lineRule="auto"/>
              <w:ind w:left="424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Валентина Леонідівна</w:t>
            </w:r>
          </w:p>
          <w:p w14:paraId="2BC9B58A" w14:textId="77777777" w:rsidR="00C654E1" w:rsidRP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28" w:lineRule="auto"/>
              <w:ind w:left="4226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654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Посада доцент. Початок роботи в КНУБА 2001</w:t>
            </w:r>
          </w:p>
          <w:p w14:paraId="74464200" w14:textId="77777777" w:rsidR="00C654E1" w:rsidRP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2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4E1" w14:paraId="2313ED7B" w14:textId="77777777" w:rsidTr="004670E7">
        <w:trPr>
          <w:trHeight w:val="652"/>
        </w:trPr>
        <w:tc>
          <w:tcPr>
            <w:tcW w:w="14992" w:type="dxa"/>
            <w:gridSpan w:val="2"/>
          </w:tcPr>
          <w:p w14:paraId="4416359F" w14:textId="77777777" w:rsidR="00C654E1" w:rsidRP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4E1">
              <w:rPr>
                <w:rFonts w:ascii="Times New Roman" w:eastAsia="Times New Roman" w:hAnsi="Times New Roman" w:cs="Times New Roman"/>
                <w:b/>
              </w:rPr>
              <w:t xml:space="preserve">Досягнення у професійній діяльності, які зараховуються за останні п’ять років </w:t>
            </w:r>
            <w:r w:rsidRPr="00C654E1">
              <w:rPr>
                <w:rFonts w:ascii="Times New Roman" w:eastAsia="Times New Roman" w:hAnsi="Times New Roman" w:cs="Times New Roman"/>
              </w:rPr>
              <w:br/>
              <w:t>(</w:t>
            </w:r>
            <w:r w:rsidRPr="00C654E1">
              <w:rPr>
                <w:rFonts w:ascii="Times New Roman" w:eastAsia="Times New Roman" w:hAnsi="Times New Roman" w:cs="Times New Roman"/>
                <w:b/>
              </w:rPr>
              <w:t>Пункт 38</w:t>
            </w:r>
            <w:r w:rsidRPr="00C654E1">
              <w:rPr>
                <w:rFonts w:ascii="Times New Roman" w:eastAsia="Times New Roman" w:hAnsi="Times New Roman" w:cs="Times New Roman"/>
              </w:rPr>
              <w:t xml:space="preserve"> постанови КМУ від 30 грудня 2015 р. № 1187 (в редакції постанови КМУ від 24 березня 2021 р. № 365)</w:t>
            </w:r>
          </w:p>
        </w:tc>
      </w:tr>
      <w:tr w:rsidR="00C654E1" w14:paraId="0F81133E" w14:textId="77777777" w:rsidTr="004670E7">
        <w:tc>
          <w:tcPr>
            <w:tcW w:w="6487" w:type="dxa"/>
          </w:tcPr>
          <w:p w14:paraId="4E8A3D8E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баз, зокрема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8505" w:type="dxa"/>
          </w:tcPr>
          <w:p w14:paraId="2868616E" w14:textId="77777777" w:rsidR="00C654E1" w:rsidRPr="00C654E1" w:rsidRDefault="00C654E1" w:rsidP="004670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В.Л.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Періодизація та особливості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протестних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рухів XX-XXI ст.   Держава і право. Вип</w:t>
            </w:r>
            <w:r w:rsidRPr="00C654E1">
              <w:rPr>
                <w:rFonts w:ascii="Times New Roman" w:eastAsia="Times New Roman" w:hAnsi="Times New Roman" w:cs="Times New Roman"/>
              </w:rPr>
              <w:t xml:space="preserve">уск 89.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К.: 2021. С.278-287.  </w:t>
            </w:r>
          </w:p>
          <w:p w14:paraId="476E8191" w14:textId="77777777" w:rsidR="00C654E1" w:rsidRPr="00C654E1" w:rsidRDefault="00C654E1" w:rsidP="0046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54E1">
              <w:rPr>
                <w:rFonts w:ascii="Times New Roman" w:eastAsia="Times New Roman" w:hAnsi="Times New Roman" w:cs="Times New Roman"/>
              </w:rPr>
              <w:t xml:space="preserve">DOI: 10.33663/1563-3349-2021-89-278 </w:t>
            </w:r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Фахова</w:t>
            </w:r>
          </w:p>
          <w:p w14:paraId="756D71E3" w14:textId="77777777" w:rsidR="00C654E1" w:rsidRPr="00C654E1" w:rsidRDefault="00C654E1" w:rsidP="004670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N.Davydova,J.Baieva,S.Miserzhy,Y.Pereguda,V.Zgursska.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>Current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Problems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Information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Analysis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Current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Trends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in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Cybersecurity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International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Journal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of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Computer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Science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and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Network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Security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2022.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Vol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. 22  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3.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pp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 769-775. </w:t>
            </w:r>
            <w:r w:rsidRPr="00C654E1">
              <w:rPr>
                <w:rFonts w:ascii="Times New Roman" w:eastAsia="Times New Roman" w:hAnsi="Times New Roman" w:cs="Times New Roman"/>
                <w:color w:val="000000"/>
                <w:shd w:val="clear" w:color="auto" w:fill="F9F9F9"/>
              </w:rPr>
              <w:t xml:space="preserve"> URL: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http://paper.ijcsns.org/07_book/202203/202203101.pdf. DOI https://doi.org/10.22937/IJCSNS.2022.22.3.101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Web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of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Science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02B705FB" w14:textId="77777777" w:rsidR="00C654E1" w:rsidRPr="00C654E1" w:rsidRDefault="00C654E1" w:rsidP="004670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В.Л.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Войовнича демократія як інститут протидії популізму.  </w:t>
            </w:r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Регіональні студії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УжНУ, 2024.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Вип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36. С.32-35. URL: </w:t>
            </w:r>
            <w:hyperlink r:id="rId7">
              <w:r w:rsidRPr="00C654E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</w:t>
              </w:r>
            </w:hyperlink>
            <w:hyperlink r:id="rId8">
              <w:r w:rsidRPr="00C654E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doi.org/10.32782/2663-6170/2024.36.5</w:t>
              </w:r>
            </w:hyperlink>
            <w:r w:rsidRPr="00C654E1">
              <w:rPr>
                <w:rFonts w:ascii="Times New Roman" w:eastAsia="Times New Roman" w:hAnsi="Times New Roman" w:cs="Times New Roman"/>
              </w:rPr>
              <w:t xml:space="preserve"> </w:t>
            </w:r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Фахова</w:t>
            </w:r>
          </w:p>
          <w:p w14:paraId="426D330B" w14:textId="77777777" w:rsidR="00C654E1" w:rsidRPr="00C654E1" w:rsidRDefault="00C654E1" w:rsidP="004670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В.Л.,Мироненко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П.В.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Глобальний чинник у появі та зміцненні неліберальних демократій.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Грані.Дніпро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.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2024. Том 27. №1. С. 108-112. </w:t>
            </w:r>
            <w:r w:rsidRPr="00C654E1">
              <w:rPr>
                <w:rFonts w:ascii="Times New Roman" w:eastAsia="Times New Roman" w:hAnsi="Times New Roman" w:cs="Times New Roman"/>
              </w:rPr>
              <w:t>DOI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hyperlink r:id="rId9">
              <w:r w:rsidRPr="00C654E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</w:t>
              </w:r>
            </w:hyperlink>
            <w:hyperlink r:id="rId10">
              <w:r w:rsidRPr="00C654E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/doi.org/10.15421/172415</w:t>
              </w:r>
            </w:hyperlink>
            <w:r w:rsidRPr="00C654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Фахова</w:t>
            </w:r>
          </w:p>
          <w:p w14:paraId="724C0410" w14:textId="77777777" w:rsidR="00C654E1" w:rsidRPr="00C654E1" w:rsidRDefault="00C654E1" w:rsidP="004670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Skrypniuk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O.,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Buriachenko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O.,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ZgurskaV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>.,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Stovolos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N.,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Buryk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M.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Features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Attributes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Criteria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Democratic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Political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Regimes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Comparative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Analysis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). AD ALTA. 2024(1). P. 171-176.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Journal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Interdisciplinary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Research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URL: </w:t>
            </w:r>
            <w:hyperlink r:id="rId11">
              <w:r w:rsidRPr="00C654E1">
                <w:rPr>
                  <w:rFonts w:ascii="Times New Roman" w:eastAsia="Times New Roman" w:hAnsi="Times New Roman" w:cs="Times New Roman"/>
                  <w:color w:val="000000"/>
                </w:rPr>
                <w:t>http://www.magnanimitas.cz/</w:t>
              </w:r>
            </w:hyperlink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ADALTA/140139/papers/A_34.pdf.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Web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of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Science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6944CD33" w14:textId="77777777" w:rsidR="00C654E1" w:rsidRPr="00C654E1" w:rsidRDefault="00C654E1" w:rsidP="004670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bookmarkStart w:id="0" w:name="_Hlk221308379"/>
            <w:proofErr w:type="spellStart"/>
            <w:r w:rsidRPr="00C654E1">
              <w:rPr>
                <w:rFonts w:ascii="Times New Roman" w:eastAsia="Times New Roman" w:hAnsi="Times New Roman" w:cs="Times New Roman"/>
                <w:bCs/>
                <w:color w:val="000000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В.Л.,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bCs/>
                <w:color w:val="000000"/>
              </w:rPr>
              <w:t>Сустрєтов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А.С.,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bCs/>
                <w:color w:val="000000"/>
              </w:rPr>
              <w:t>Сироєжко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О.В. Формування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bCs/>
                <w:color w:val="000000"/>
              </w:rPr>
              <w:t>компетентнісного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профілю сучасного науковця в умовах цифрової комунікації. Перспективи та інновації науки.Вип.N1(59).2026.С.1638-1646</w:t>
            </w:r>
            <w:bookmarkEnd w:id="0"/>
          </w:p>
        </w:tc>
      </w:tr>
      <w:tr w:rsidR="00C654E1" w14:paraId="7A520BDD" w14:textId="77777777" w:rsidTr="004670E7">
        <w:tc>
          <w:tcPr>
            <w:tcW w:w="6487" w:type="dxa"/>
          </w:tcPr>
          <w:p w14:paraId="65CBF2B6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свідоцтв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реєстрацію авторського права на твір;</w:t>
            </w:r>
          </w:p>
        </w:tc>
        <w:tc>
          <w:tcPr>
            <w:tcW w:w="8505" w:type="dxa"/>
          </w:tcPr>
          <w:p w14:paraId="5C2B0B01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3E67A9C1" w14:textId="77777777" w:rsidTr="004670E7">
        <w:tc>
          <w:tcPr>
            <w:tcW w:w="6487" w:type="dxa"/>
          </w:tcPr>
          <w:p w14:paraId="389E09B5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>
              <w:rPr>
                <w:rFonts w:ascii="Times New Roman" w:eastAsia="Times New Roman" w:hAnsi="Times New Roman" w:cs="Times New Roman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8505" w:type="dxa"/>
          </w:tcPr>
          <w:p w14:paraId="21E7384D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2DE176DA" w14:textId="77777777" w:rsidTr="004670E7">
        <w:tc>
          <w:tcPr>
            <w:tcW w:w="6487" w:type="dxa"/>
          </w:tcPr>
          <w:p w14:paraId="29E82B67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505" w:type="dxa"/>
          </w:tcPr>
          <w:p w14:paraId="4AD5E389" w14:textId="77777777" w:rsidR="00C654E1" w:rsidRPr="00C654E1" w:rsidRDefault="00C654E1" w:rsidP="004670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Політологія: Методичні рекомендації до вивчення дисципліни для студентів спеціальності «Право». Уклад. Є.В.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Перегуда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, В.В.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Карпунцов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, В.Л.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, Ю.Є. Баєва та ін. Київ–Тернопіль: КНУБА, «Бескиди», 2022. 35 с.  URL: </w:t>
            </w:r>
            <w:hyperlink r:id="rId12" w:history="1">
              <w:r w:rsidRPr="00C654E1">
                <w:rPr>
                  <w:rStyle w:val="ab"/>
                  <w:rFonts w:ascii="Times New Roman" w:eastAsia="Times New Roman" w:hAnsi="Times New Roman" w:cs="Times New Roman"/>
                </w:rPr>
                <w:t>https://elib.knuba.edu.ua/librari/DocumentDescription?docid=KvKNUBA.1779720</w:t>
              </w:r>
            </w:hyperlink>
            <w:r w:rsidRPr="00C654E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86E5CD" w14:textId="77777777" w:rsidR="00C654E1" w:rsidRPr="00C654E1" w:rsidRDefault="00C654E1" w:rsidP="004670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Кваліфікаційна робота: методичні вказівки щодо написання, оформлення і захисту для здобувачів вищої освіти за першим (бакалаврським) рівнем зі спеціальності 052 “Політологія” галузі знань 05 “Соціальні та поведінкові науки”.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Укл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В.Л.,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Гербут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Н.А.,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Перегуда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Є.В. та ін. Київ -Тернопіль: КНУБА, 2022. 58 с. URL:  http://surl.li/lntnj.</w:t>
            </w:r>
          </w:p>
          <w:p w14:paraId="742A9394" w14:textId="77777777" w:rsidR="00C654E1" w:rsidRPr="00C654E1" w:rsidRDefault="00C654E1" w:rsidP="004670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Кваліфікаційна робота: методичні вказівки щодо написання, оформлення і захисту для здобувачів вищої освіти за першим (бакалаврським) рівнем зі спеціальності 052 “Політологія” галузі знань 05 “Соціальні та поведінкові науки”. Вид. 2-ге,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доп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і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випр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Уклад.: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В.Л.,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Гербут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 Н.А.,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Перегуда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 Є. В.,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Семко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В.Л. та ін. Київ-Тернопіль: КНУБА, ФО-П Шпак В. Б., 2023. 57 с. </w:t>
            </w:r>
            <w:hyperlink r:id="rId13" w:history="1">
              <w:r w:rsidRPr="00C654E1">
                <w:rPr>
                  <w:rStyle w:val="ab"/>
                  <w:rFonts w:ascii="Times New Roman" w:eastAsia="Times New Roman" w:hAnsi="Times New Roman" w:cs="Times New Roman"/>
                </w:rPr>
                <w:t>https://elib.knuba.edu.ua/library/DocumentDescription?docid=KvKNUBA.1779043</w:t>
              </w:r>
            </w:hyperlink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06C981E" w14:textId="77777777" w:rsidR="00C654E1" w:rsidRPr="00C654E1" w:rsidRDefault="00C654E1" w:rsidP="004670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30j0zll" w:colFirst="0" w:colLast="0"/>
            <w:bookmarkEnd w:id="1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Політологія: Методичні рекомендації з підготовки до практичних занять, самостійної роботи та виконання індивідуальних завдань. Уклад. Є.В.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Перегуда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, Ф.Г. Семенченко, В.Л.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, Ю.Є. Баєва та ін. Київ–Тернопіль: КНУБА, Ф-ОП Шпак В.Б., 2023. 32 с. </w:t>
            </w:r>
            <w:hyperlink r:id="rId14" w:history="1">
              <w:r w:rsidRPr="00C654E1">
                <w:rPr>
                  <w:rStyle w:val="ab"/>
                  <w:rFonts w:ascii="Times New Roman" w:eastAsia="Times New Roman" w:hAnsi="Times New Roman" w:cs="Times New Roman"/>
                </w:rPr>
                <w:t>https://elib.knuba.edu.ua/library/DocumentDescription?docid=KvKNUBA.1779710</w:t>
              </w:r>
            </w:hyperlink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1147A6A" w14:textId="77777777" w:rsidR="00C654E1" w:rsidRPr="00C654E1" w:rsidRDefault="00C654E1" w:rsidP="004670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Вступ до спеціальності “Політологія: Методичні рекомендації з підготовки до практичних занять, самостійні роботи та виконання індивідуальних завдань для студентів спеціальності 052 “Політологія” .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Уклад.Н.А.Гербут,В.Л.Згурська.Київ-Тернопіль:КНУБА,Ф-ОП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Шпак В.Б.,2024.30с. URL:  https://repositary.knuba.edu.ua/items/ed60eca7-7397-43ec-9081-72310b00fd41 </w:t>
            </w:r>
          </w:p>
          <w:p w14:paraId="09A8DAE0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2D555C1D" w14:textId="77777777" w:rsidTr="004670E7">
        <w:tc>
          <w:tcPr>
            <w:tcW w:w="6487" w:type="dxa"/>
          </w:tcPr>
          <w:p w14:paraId="3D99665E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5)захист дисертації на здобуття наукового ступеня;</w:t>
            </w:r>
          </w:p>
        </w:tc>
        <w:tc>
          <w:tcPr>
            <w:tcW w:w="8505" w:type="dxa"/>
          </w:tcPr>
          <w:p w14:paraId="40F90C30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79A209C5" w14:textId="77777777" w:rsidTr="004670E7">
        <w:tc>
          <w:tcPr>
            <w:tcW w:w="6487" w:type="dxa"/>
          </w:tcPr>
          <w:p w14:paraId="3EBB93BC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6)наукове керівництво (консультування) здобувача, який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одержав документ про присудження наукового ступеня;</w:t>
            </w:r>
          </w:p>
        </w:tc>
        <w:tc>
          <w:tcPr>
            <w:tcW w:w="8505" w:type="dxa"/>
          </w:tcPr>
          <w:p w14:paraId="3D1F6CE9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58C4C3DB" w14:textId="77777777" w:rsidTr="004670E7">
        <w:tc>
          <w:tcPr>
            <w:tcW w:w="6487" w:type="dxa"/>
          </w:tcPr>
          <w:p w14:paraId="585DD6AE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505" w:type="dxa"/>
          </w:tcPr>
          <w:p w14:paraId="2301C4D4" w14:textId="77777777" w:rsidR="00C654E1" w:rsidRPr="00C654E1" w:rsidRDefault="00C654E1" w:rsidP="0046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4E1">
              <w:rPr>
                <w:rFonts w:ascii="Times New Roman" w:eastAsia="Times New Roman" w:hAnsi="Times New Roman" w:cs="Times New Roman"/>
              </w:rPr>
              <w:t>Офіційний опонент:</w:t>
            </w:r>
          </w:p>
          <w:p w14:paraId="15E8B6E9" w14:textId="77777777" w:rsidR="00C654E1" w:rsidRPr="00C654E1" w:rsidRDefault="00C654E1" w:rsidP="004670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4E1">
              <w:rPr>
                <w:rFonts w:ascii="Times New Roman" w:eastAsia="Times New Roman" w:hAnsi="Times New Roman" w:cs="Times New Roman"/>
              </w:rPr>
              <w:t>Спеціалізована Вчена рада Д.26.236. 01 Інститут держави і права імені В.М. Корецького НАНУ .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Ріахамов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Ш.Н. Тема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дисертації:”Формування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політичної нації у Республіці Казахстан” (23.00.05). 2021 р.https://dir.ukrintei.ua/view/okd/225d817faf5dce6e72d55f73ff3d64a1</w:t>
            </w:r>
          </w:p>
          <w:p w14:paraId="1BBDBD79" w14:textId="77777777" w:rsidR="00C654E1" w:rsidRPr="00C654E1" w:rsidRDefault="00C654E1" w:rsidP="004670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4E1">
              <w:rPr>
                <w:rFonts w:ascii="Times New Roman" w:eastAsia="Times New Roman" w:hAnsi="Times New Roman" w:cs="Times New Roman"/>
              </w:rPr>
              <w:t xml:space="preserve">                                                          Рецензент:</w:t>
            </w:r>
          </w:p>
          <w:p w14:paraId="591A809B" w14:textId="77777777" w:rsidR="00C654E1" w:rsidRPr="00C654E1" w:rsidRDefault="00C654E1" w:rsidP="004670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4E1">
              <w:rPr>
                <w:rFonts w:ascii="Times New Roman" w:eastAsia="Times New Roman" w:hAnsi="Times New Roman" w:cs="Times New Roman"/>
              </w:rPr>
              <w:t>Разова спеціалізована Вчена рада ДФ 24.033.КНУБА.</w:t>
            </w:r>
          </w:p>
          <w:p w14:paraId="68C4963E" w14:textId="77777777" w:rsidR="00C654E1" w:rsidRPr="00C654E1" w:rsidRDefault="00C654E1" w:rsidP="004670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Спірідонов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М.Ю.Тема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дисертації:”Демократія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як соціокультурний феномен: загальне та особливе”(033).2024р.https://dir.ukrintei.ua/view/okd/9f04cb06f693bf7903b5321b6fecfd45</w:t>
            </w:r>
          </w:p>
        </w:tc>
      </w:tr>
      <w:tr w:rsidR="00C654E1" w14:paraId="21C41A0E" w14:textId="77777777" w:rsidTr="004670E7">
        <w:tc>
          <w:tcPr>
            <w:tcW w:w="6487" w:type="dxa"/>
          </w:tcPr>
          <w:p w14:paraId="0F9A81A7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05" w:type="dxa"/>
          </w:tcPr>
          <w:p w14:paraId="356C9605" w14:textId="77777777" w:rsidR="00C654E1" w:rsidRPr="00C654E1" w:rsidRDefault="00C654E1" w:rsidP="004670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4E1">
              <w:rPr>
                <w:rFonts w:ascii="Times New Roman" w:eastAsia="Times New Roman" w:hAnsi="Times New Roman" w:cs="Times New Roman"/>
              </w:rPr>
              <w:t xml:space="preserve">Член редакційної колегії іноземного наукового видання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SWorld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Index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Copernicus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</w:rPr>
              <w:t>Scholar</w:t>
            </w:r>
            <w:proofErr w:type="spellEnd"/>
            <w:r w:rsidRPr="00C654E1">
              <w:rPr>
                <w:rFonts w:ascii="Times New Roman" w:eastAsia="Times New Roman" w:hAnsi="Times New Roman" w:cs="Times New Roman"/>
              </w:rPr>
              <w:t xml:space="preserve">) URL: </w:t>
            </w:r>
            <w:hyperlink r:id="rId15" w:history="1">
              <w:r w:rsidRPr="00C654E1">
                <w:rPr>
                  <w:rStyle w:val="ab"/>
                  <w:rFonts w:ascii="Times New Roman" w:eastAsia="Times New Roman" w:hAnsi="Times New Roman" w:cs="Times New Roman"/>
                </w:rPr>
                <w:t>https://www.sworldjournal.com/index.php/swj/about/editorialTeam</w:t>
              </w:r>
            </w:hyperlink>
            <w:r w:rsidRPr="00C654E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54E1" w14:paraId="7A7EF871" w14:textId="77777777" w:rsidTr="004670E7">
        <w:tc>
          <w:tcPr>
            <w:tcW w:w="6487" w:type="dxa"/>
          </w:tcPr>
          <w:p w14:paraId="7B285590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</w:tcPr>
          <w:p w14:paraId="55676448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5B5E2CDF" w14:textId="77777777" w:rsidTr="004670E7">
        <w:tc>
          <w:tcPr>
            <w:tcW w:w="6487" w:type="dxa"/>
          </w:tcPr>
          <w:p w14:paraId="740E0288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05" w:type="dxa"/>
          </w:tcPr>
          <w:p w14:paraId="5884026E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3CFC4147" w14:textId="77777777" w:rsidTr="004670E7">
        <w:tc>
          <w:tcPr>
            <w:tcW w:w="6487" w:type="dxa"/>
          </w:tcPr>
          <w:p w14:paraId="46EC4AF7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</w:tcPr>
          <w:p w14:paraId="7204CB68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75C24373" w14:textId="77777777" w:rsidTr="004670E7">
        <w:tc>
          <w:tcPr>
            <w:tcW w:w="6487" w:type="dxa"/>
          </w:tcPr>
          <w:p w14:paraId="34611B3C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</w:t>
            </w:r>
            <w:r w:rsidRPr="00B94889">
              <w:rPr>
                <w:rFonts w:ascii="Times New Roman" w:eastAsia="Times New Roman" w:hAnsi="Times New Roman" w:cs="Times New Roman"/>
              </w:rPr>
              <w:t>кількістю не менше п’яти публікацій;</w:t>
            </w:r>
          </w:p>
        </w:tc>
        <w:tc>
          <w:tcPr>
            <w:tcW w:w="8505" w:type="dxa"/>
          </w:tcPr>
          <w:p w14:paraId="0C5E897E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CD5F32" w14:textId="77777777" w:rsidR="00C654E1" w:rsidRPr="00C654E1" w:rsidRDefault="00C654E1" w:rsidP="004670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В.Л. Політика згуртування ЄС та ріст регіональних диспропорцій у Болгарії. Просторове планування: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містопланування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, архітектура, політичні та соціокультурні засади.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Зб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наук. пр.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Вип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ІІ. В 2-х ч. Київ–Тернопіль : КНУБА, «Бескиди», 2021. Частина 1. С. 169-173. URL:  </w:t>
            </w:r>
            <w:hyperlink r:id="rId16">
              <w:r w:rsidRPr="00C654E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http://surl.li/lnmmt</w:t>
              </w:r>
            </w:hyperlink>
            <w:r w:rsidRPr="00C654E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EC9D263" w14:textId="77777777" w:rsidR="00C654E1" w:rsidRPr="00C654E1" w:rsidRDefault="00C654E1" w:rsidP="004670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Перегуда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Є.В.,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В.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Л.Реформа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місцевого самоврядування в Польщі як урок для України на післявоєнний період.  </w:t>
            </w:r>
            <w:r w:rsidRPr="00C654E1">
              <w:rPr>
                <w:rFonts w:ascii="Times New Roman" w:eastAsia="Times New Roman" w:hAnsi="Times New Roman" w:cs="Times New Roman"/>
                <w:i/>
                <w:color w:val="000000"/>
              </w:rPr>
              <w:t>Просторовий розвиток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 К.: КНУБА, 2022. С.204-216. </w:t>
            </w:r>
            <w:r w:rsidRPr="00C654E1">
              <w:rPr>
                <w:rFonts w:ascii="Times New Roman" w:eastAsia="Times New Roman" w:hAnsi="Times New Roman" w:cs="Times New Roman"/>
                <w:color w:val="000000"/>
                <w:shd w:val="clear" w:color="auto" w:fill="F9F9F9"/>
              </w:rPr>
              <w:t xml:space="preserve"> </w:t>
            </w:r>
            <w:r w:rsidRPr="00C654E1">
              <w:rPr>
                <w:rFonts w:ascii="Times New Roman" w:eastAsia="Times New Roman" w:hAnsi="Times New Roman" w:cs="Times New Roman"/>
                <w:shd w:val="clear" w:color="auto" w:fill="F9F9F9"/>
              </w:rPr>
              <w:t>DOI: 10.32347/2786-7269.2022.2.204-215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54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14:paraId="7F98F5E7" w14:textId="77777777" w:rsidR="00C654E1" w:rsidRPr="00C654E1" w:rsidRDefault="00C654E1" w:rsidP="004670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gjdgxs" w:colFirst="0" w:colLast="0"/>
            <w:bookmarkEnd w:id="2"/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В.Л.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Уроки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європейської політики згуртованості для збереження стабільності політичних систем.  Урбаністичний форум.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Зб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. наук. пр. За мат. міжнародних наукових конференцій «Просторове планування» (28 квітня 2023 р.) та «Будівельне право» (5 травня 2023 р.). В 2-х ч. Київ–Тернопіль : КНУБА, «Бескиди», 2023. Частина 1. С. 67-71. URL:  </w:t>
            </w:r>
            <w:hyperlink r:id="rId17">
              <w:r w:rsidRPr="00C654E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https://www.knuba.edu.ua/wp-content/uploads/2023/09/zbirnik-materialiv-urban-forum-2023-chastina-1.pdf</w:t>
              </w:r>
            </w:hyperlink>
          </w:p>
          <w:p w14:paraId="2A1EAC3C" w14:textId="77777777" w:rsidR="00C654E1" w:rsidRPr="00C654E1" w:rsidRDefault="00C654E1" w:rsidP="004670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Кресіна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І.О.,</w:t>
            </w:r>
            <w:r w:rsidRPr="00C654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Згурська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В.Л.</w:t>
            </w:r>
            <w:r w:rsidRPr="00C654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Cтаросольський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 xml:space="preserve"> Володимир. Енциклопедія політики і права. За ред. </w:t>
            </w:r>
            <w:proofErr w:type="spellStart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В.П.Горбатенка</w:t>
            </w:r>
            <w:proofErr w:type="spellEnd"/>
            <w:r w:rsidRPr="00C654E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654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П.В. Мироненка.</w:t>
            </w:r>
            <w:r w:rsidRPr="00C654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Київ:</w:t>
            </w:r>
            <w:r w:rsidRPr="00C654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>Академія політико-правових наук, 2024.</w:t>
            </w:r>
            <w:r w:rsidRPr="00C654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C654E1">
              <w:rPr>
                <w:rFonts w:ascii="Times New Roman" w:eastAsia="Times New Roman" w:hAnsi="Times New Roman" w:cs="Times New Roman"/>
                <w:color w:val="000000"/>
              </w:rPr>
              <w:t>С.681</w:t>
            </w:r>
            <w:r w:rsidRPr="00C654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hyperlink r:id="rId18" w:history="1">
              <w:r w:rsidRPr="00C654E1">
                <w:rPr>
                  <w:rStyle w:val="ab"/>
                  <w:rFonts w:ascii="Times New Roman" w:eastAsia="Times New Roman" w:hAnsi="Times New Roman" w:cs="Times New Roman"/>
                </w:rPr>
                <w:t>http://apls-ua.org/wp-content/uploads/2025/01/Енциклопедія_2024.pdf</w:t>
              </w:r>
            </w:hyperlink>
            <w:r w:rsidRPr="00C654E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C654E1" w14:paraId="3F4B49BA" w14:textId="77777777" w:rsidTr="004670E7">
        <w:tc>
          <w:tcPr>
            <w:tcW w:w="6487" w:type="dxa"/>
          </w:tcPr>
          <w:p w14:paraId="38A281D2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13)проведення навчальних занять із спеціальних дисциплін іноземною мовою (крім дисциплін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підготовки) в обсязі не менше </w:t>
            </w:r>
            <w:r>
              <w:rPr>
                <w:rFonts w:ascii="Times New Roman" w:eastAsia="Times New Roman" w:hAnsi="Times New Roman" w:cs="Times New Roman"/>
              </w:rPr>
              <w:br/>
              <w:t>50 аудиторних годин на навчальний рік;</w:t>
            </w:r>
          </w:p>
        </w:tc>
        <w:tc>
          <w:tcPr>
            <w:tcW w:w="8505" w:type="dxa"/>
          </w:tcPr>
          <w:p w14:paraId="4D5B369F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1BA28887" w14:textId="77777777" w:rsidTr="004670E7">
        <w:tc>
          <w:tcPr>
            <w:tcW w:w="6487" w:type="dxa"/>
          </w:tcPr>
          <w:p w14:paraId="465847DA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-творчому) рівні); керівництво здобувачем, який став призером або лауреатом міжнародних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</w:tcPr>
          <w:p w14:paraId="43C94385" w14:textId="77777777" w:rsidR="00C654E1" w:rsidRPr="00BA7CD0" w:rsidRDefault="00C654E1" w:rsidP="004670E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</w:pPr>
            <w:r w:rsidRPr="00BA7CD0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Тип досягнення здобувача: </w:t>
            </w:r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I Всеукраїнського конкурсу студентських наукових робіт (1-3 місце)</w:t>
            </w:r>
          </w:p>
          <w:p w14:paraId="1B30308B" w14:textId="77777777" w:rsidR="00C654E1" w:rsidRPr="00BA7CD0" w:rsidRDefault="00C654E1" w:rsidP="004670E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</w:pPr>
            <w:r w:rsidRPr="00BA7CD0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eastAsia="uk-UA"/>
              </w:rPr>
              <w:t>Назва конкурсу / змагань / олімпіади: </w:t>
            </w:r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Всеукраїнський конкурс студентських наукових робіт</w:t>
            </w:r>
          </w:p>
          <w:p w14:paraId="22C2F534" w14:textId="77777777" w:rsidR="00C654E1" w:rsidRPr="00BA7CD0" w:rsidRDefault="00C654E1" w:rsidP="004670E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</w:pPr>
            <w:r w:rsidRPr="00BA7CD0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eastAsia="uk-UA"/>
              </w:rPr>
              <w:t>Результат: </w:t>
            </w:r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 xml:space="preserve">Переможець конкурсу у галузі знань" Соціальні </w:t>
            </w:r>
            <w:proofErr w:type="spellStart"/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науки,журналістика</w:t>
            </w:r>
            <w:proofErr w:type="spellEnd"/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інформація.Політологія</w:t>
            </w:r>
            <w:proofErr w:type="spellEnd"/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"</w:t>
            </w:r>
          </w:p>
          <w:p w14:paraId="2C4581EA" w14:textId="77777777" w:rsidR="00C654E1" w:rsidRPr="00BA7CD0" w:rsidRDefault="00C654E1" w:rsidP="004670E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</w:pPr>
            <w:r w:rsidRPr="00BA7CD0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eastAsia="uk-UA"/>
              </w:rPr>
              <w:t>Дата: </w:t>
            </w:r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20.05.2025</w:t>
            </w:r>
          </w:p>
          <w:p w14:paraId="0195C66D" w14:textId="77777777" w:rsidR="00C654E1" w:rsidRPr="00BA7CD0" w:rsidRDefault="00C654E1" w:rsidP="004670E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</w:pPr>
            <w:r w:rsidRPr="00BA7CD0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eastAsia="uk-UA"/>
              </w:rPr>
              <w:t>ПІБ здобувача: </w:t>
            </w:r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Куреня Юлія Сергіївна</w:t>
            </w:r>
          </w:p>
          <w:p w14:paraId="69EA03F5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A6CF55" w14:textId="77777777" w:rsidR="00C654E1" w:rsidRPr="00BA7CD0" w:rsidRDefault="00C654E1" w:rsidP="004670E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</w:pPr>
            <w:r w:rsidRPr="00BA7CD0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eastAsia="uk-UA"/>
              </w:rPr>
              <w:t>Робота у складі: </w:t>
            </w:r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Робота у складі організаційного комітету / журі Всеукраїнського конкурсу студентських наукових робіт</w:t>
            </w:r>
          </w:p>
          <w:p w14:paraId="076CC274" w14:textId="77777777" w:rsidR="00C654E1" w:rsidRPr="00BA7CD0" w:rsidRDefault="00C654E1" w:rsidP="004670E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</w:pPr>
            <w:r w:rsidRPr="00BA7CD0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eastAsia="uk-UA"/>
              </w:rPr>
              <w:t>Назва: </w:t>
            </w:r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 xml:space="preserve">Член </w:t>
            </w:r>
            <w:r w:rsidRPr="00C654E1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журі</w:t>
            </w:r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 xml:space="preserve"> міжнародного конкурсу</w:t>
            </w:r>
          </w:p>
          <w:p w14:paraId="726C960F" w14:textId="77777777" w:rsidR="00C654E1" w:rsidRPr="00BA7CD0" w:rsidRDefault="00C654E1" w:rsidP="004670E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</w:pPr>
            <w:r w:rsidRPr="00BA7CD0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Дата проведення: </w:t>
            </w:r>
            <w:r w:rsidRPr="00BA7CD0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eastAsia="uk-UA"/>
              </w:rPr>
              <w:t>18.12.2025</w:t>
            </w:r>
          </w:p>
          <w:p w14:paraId="4AC5A6F3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13136C3C" w14:textId="77777777" w:rsidTr="004670E7">
        <w:tc>
          <w:tcPr>
            <w:tcW w:w="6487" w:type="dxa"/>
          </w:tcPr>
          <w:p w14:paraId="455C6B20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-наукового/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-творчого) рівня);</w:t>
            </w:r>
          </w:p>
        </w:tc>
        <w:tc>
          <w:tcPr>
            <w:tcW w:w="8505" w:type="dxa"/>
          </w:tcPr>
          <w:p w14:paraId="05867A6D" w14:textId="77777777" w:rsidR="00C654E1" w:rsidRPr="00C654E1" w:rsidRDefault="00C654E1" w:rsidP="0046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3CA1998E" w14:textId="77777777" w:rsidTr="004670E7">
        <w:tc>
          <w:tcPr>
            <w:tcW w:w="6487" w:type="dxa"/>
          </w:tcPr>
          <w:p w14:paraId="6B2BFBF5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116DCEC2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57BDE0E0" w14:textId="77777777" w:rsidTr="004670E7">
        <w:tc>
          <w:tcPr>
            <w:tcW w:w="6487" w:type="dxa"/>
          </w:tcPr>
          <w:p w14:paraId="1E8CB574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1719E6F4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797D7E21" w14:textId="77777777" w:rsidTr="004670E7">
        <w:tc>
          <w:tcPr>
            <w:tcW w:w="6487" w:type="dxa"/>
          </w:tcPr>
          <w:p w14:paraId="2A68E118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18)участь у міжнародних військових навчаннях (тренуваннях) за участю збройних сил країн — членів НАТО(для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149028E4" w14:textId="77777777" w:rsidR="00C654E1" w:rsidRPr="00C654E1" w:rsidRDefault="00C654E1" w:rsidP="004670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54E1" w14:paraId="40A2CB9B" w14:textId="77777777" w:rsidTr="004670E7">
        <w:tc>
          <w:tcPr>
            <w:tcW w:w="6487" w:type="dxa"/>
          </w:tcPr>
          <w:p w14:paraId="5E5CA6E1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05" w:type="dxa"/>
          </w:tcPr>
          <w:p w14:paraId="237AFF59" w14:textId="77777777" w:rsidR="00C654E1" w:rsidRPr="00C654E1" w:rsidRDefault="00C654E1" w:rsidP="0046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54E1">
              <w:rPr>
                <w:rFonts w:ascii="Times New Roman" w:eastAsia="Times New Roman" w:hAnsi="Times New Roman" w:cs="Times New Roman"/>
              </w:rPr>
              <w:t>ГО «Академія політико-правових  наук України». Академік. Диплом АВ-14  від 30.09.2022 р. До цього – член-кореспондент ГО «Академія політичних наук».https://apls-ua.org/section/members_of_apn/academycs/page/4/</w:t>
            </w:r>
          </w:p>
        </w:tc>
      </w:tr>
      <w:tr w:rsidR="00C654E1" w14:paraId="1E7E16FC" w14:textId="77777777" w:rsidTr="004670E7">
        <w:tc>
          <w:tcPr>
            <w:tcW w:w="6487" w:type="dxa"/>
          </w:tcPr>
          <w:p w14:paraId="4069BDB8" w14:textId="77777777" w:rsidR="00C654E1" w:rsidRDefault="00C654E1" w:rsidP="004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05" w:type="dxa"/>
          </w:tcPr>
          <w:p w14:paraId="33A00F77" w14:textId="77777777" w:rsidR="00C654E1" w:rsidRDefault="00C654E1" w:rsidP="004670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14:paraId="30A6B7B5" w14:textId="77777777" w:rsidR="0038392E" w:rsidRDefault="0038392E"/>
    <w:p w14:paraId="1C8A5A79" w14:textId="77777777" w:rsidR="00DA5CD8" w:rsidRDefault="00DA5CD8" w:rsidP="00DA5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подання інформації  02.2026 р.</w:t>
      </w:r>
    </w:p>
    <w:p w14:paraId="32927B82" w14:textId="77777777" w:rsidR="00DA5CD8" w:rsidRDefault="00DA5CD8"/>
    <w:sectPr w:rsidR="00DA5CD8">
      <w:footerReference w:type="default" r:id="rId19"/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0F50" w14:textId="77777777" w:rsidR="002B12DA" w:rsidRDefault="002B12DA">
      <w:pPr>
        <w:spacing w:after="0" w:line="240" w:lineRule="auto"/>
      </w:pPr>
      <w:r>
        <w:separator/>
      </w:r>
    </w:p>
  </w:endnote>
  <w:endnote w:type="continuationSeparator" w:id="0">
    <w:p w14:paraId="6FD8308A" w14:textId="77777777" w:rsidR="002B12DA" w:rsidRDefault="002B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06A3" w14:textId="77777777" w:rsidR="0038392E" w:rsidRDefault="003839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01C1" w14:textId="77777777" w:rsidR="002B12DA" w:rsidRDefault="002B12DA">
      <w:pPr>
        <w:spacing w:after="0" w:line="240" w:lineRule="auto"/>
      </w:pPr>
      <w:r>
        <w:separator/>
      </w:r>
    </w:p>
  </w:footnote>
  <w:footnote w:type="continuationSeparator" w:id="0">
    <w:p w14:paraId="76CAB935" w14:textId="77777777" w:rsidR="002B12DA" w:rsidRDefault="002B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7E85"/>
    <w:multiLevelType w:val="multilevel"/>
    <w:tmpl w:val="098CB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2016"/>
    <w:multiLevelType w:val="multilevel"/>
    <w:tmpl w:val="4C82A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417CE"/>
    <w:multiLevelType w:val="multilevel"/>
    <w:tmpl w:val="D07E1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12626">
    <w:abstractNumId w:val="0"/>
  </w:num>
  <w:num w:numId="2" w16cid:durableId="1106651951">
    <w:abstractNumId w:val="1"/>
  </w:num>
  <w:num w:numId="3" w16cid:durableId="110981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2E"/>
    <w:rsid w:val="000557ED"/>
    <w:rsid w:val="000A6ED9"/>
    <w:rsid w:val="000C1FA8"/>
    <w:rsid w:val="002317C4"/>
    <w:rsid w:val="002B12DA"/>
    <w:rsid w:val="002E6402"/>
    <w:rsid w:val="00321EF7"/>
    <w:rsid w:val="0038392E"/>
    <w:rsid w:val="00706C75"/>
    <w:rsid w:val="007F5251"/>
    <w:rsid w:val="00B53EE7"/>
    <w:rsid w:val="00B94889"/>
    <w:rsid w:val="00BA7CD0"/>
    <w:rsid w:val="00C654E1"/>
    <w:rsid w:val="00CB5EBC"/>
    <w:rsid w:val="00DA5CD8"/>
    <w:rsid w:val="00DB675B"/>
    <w:rsid w:val="00E306FE"/>
    <w:rsid w:val="00E70567"/>
    <w:rsid w:val="00E97D24"/>
    <w:rsid w:val="00F8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D6C4"/>
  <w15:docId w15:val="{F697706C-9261-4AC9-90A1-0C4D2FFD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 w:line="259" w:lineRule="auto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i/>
      <w:color w:val="59595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9" w:lineRule="auto"/>
    </w:pPr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53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53EE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557E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557ED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E3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32782/2663-6170/2024.36.5" TargetMode="External"/><Relationship Id="rId13" Type="http://schemas.openxmlformats.org/officeDocument/2006/relationships/hyperlink" Target="https://elib.knuba.edu.ua/library/DocumentDescription?docid=KvKNUBA.1779043" TargetMode="External"/><Relationship Id="rId18" Type="http://schemas.openxmlformats.org/officeDocument/2006/relationships/hyperlink" Target="http://apls-ua.org/wp-content/uploads/2025/01/&#1045;&#1085;&#1094;&#1080;&#1082;&#1083;&#1086;&#1087;&#1077;&#1076;&#1110;&#1103;_2024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i.org/10.32782/2663-6170/2024.36.5" TargetMode="External"/><Relationship Id="rId12" Type="http://schemas.openxmlformats.org/officeDocument/2006/relationships/hyperlink" Target="https://elib.knuba.edu.ua/librari/DocumentDescription?docid=KvKNUBA.1779720" TargetMode="External"/><Relationship Id="rId17" Type="http://schemas.openxmlformats.org/officeDocument/2006/relationships/hyperlink" Target="https://www.knuba.edu.ua/wp-content/uploads/2023/09/zbirnik-materialiv-urban-forum-2023-chastina-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url.li/lnmm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gnanimitas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worldjournal.com/index.php/swj/about/editorialTeam" TargetMode="External"/><Relationship Id="rId10" Type="http://schemas.openxmlformats.org/officeDocument/2006/relationships/hyperlink" Target="https://doi.org/10.15421/17241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21/172415" TargetMode="External"/><Relationship Id="rId14" Type="http://schemas.openxmlformats.org/officeDocument/2006/relationships/hyperlink" Target="https://elib.knuba.edu.ua/library/DocumentDescription?docid=KvKNUBA.1779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8356</Words>
  <Characters>4764</Characters>
  <Application>Microsoft Office Word</Application>
  <DocSecurity>0</DocSecurity>
  <Lines>39</Lines>
  <Paragraphs>26</Paragraphs>
  <ScaleCrop>false</ScaleCrop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Василь Деревінський</cp:lastModifiedBy>
  <cp:revision>18</cp:revision>
  <dcterms:created xsi:type="dcterms:W3CDTF">2025-03-16T08:18:00Z</dcterms:created>
  <dcterms:modified xsi:type="dcterms:W3CDTF">2026-02-06T20:20:00Z</dcterms:modified>
</cp:coreProperties>
</file>